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97025" w14:textId="01A72636" w:rsidR="00447098" w:rsidRPr="002407D2" w:rsidRDefault="00086482" w:rsidP="00447098">
      <w:pPr>
        <w:pStyle w:val="NoSpacing"/>
        <w:rPr>
          <w:b/>
        </w:rPr>
      </w:pPr>
      <w:commentRangeStart w:id="0"/>
      <w:commentRangeEnd w:id="0"/>
      <w:r w:rsidRPr="002407D2">
        <w:rPr>
          <w:rStyle w:val="CommentReference"/>
          <w:u w:val="single"/>
        </w:rPr>
        <w:commentReference w:id="0"/>
      </w:r>
      <w:r w:rsidR="00A0757A">
        <w:rPr>
          <w:b/>
        </w:rPr>
        <w:t>OVERVIEW</w:t>
      </w:r>
      <w:commentRangeStart w:id="1"/>
      <w:commentRangeEnd w:id="1"/>
      <w:r w:rsidR="00447098">
        <w:rPr>
          <w:rStyle w:val="CommentReference"/>
        </w:rPr>
        <w:commentReference w:id="1"/>
      </w:r>
    </w:p>
    <w:p w14:paraId="4856474E" w14:textId="649B9B1E" w:rsidR="00527A15" w:rsidRPr="00527A15" w:rsidRDefault="00527A15" w:rsidP="0022402C">
      <w:pPr>
        <w:pStyle w:val="NoSpacing"/>
        <w:rPr>
          <w:highlight w:val="lightGray"/>
        </w:rPr>
      </w:pPr>
      <w:r w:rsidRPr="00527A15">
        <w:rPr>
          <w:highlight w:val="lightGray"/>
        </w:rPr>
        <w:t xml:space="preserve">Describe the governance structure </w:t>
      </w:r>
      <w:r w:rsidR="00FF75AB">
        <w:rPr>
          <w:highlight w:val="lightGray"/>
        </w:rPr>
        <w:t xml:space="preserve">you will enact </w:t>
      </w:r>
      <w:r w:rsidRPr="00527A15">
        <w:rPr>
          <w:highlight w:val="lightGray"/>
        </w:rPr>
        <w:t>to provide strategic leadership, strategic and administrative oversight, decision-making and priority-setting, and a coordinating function to engage with other relevant entities.</w:t>
      </w:r>
    </w:p>
    <w:p w14:paraId="33CEB5CF" w14:textId="22244AD2" w:rsidR="00FF0945" w:rsidRPr="00FF0945" w:rsidRDefault="00FF0945" w:rsidP="00B4653F">
      <w:pPr>
        <w:pStyle w:val="NoSpacing"/>
        <w:numPr>
          <w:ilvl w:val="0"/>
          <w:numId w:val="31"/>
        </w:numPr>
        <w:rPr>
          <w:highlight w:val="lightGray"/>
        </w:rPr>
      </w:pPr>
      <w:commentRangeStart w:id="2"/>
      <w:r w:rsidRPr="00FF0945">
        <w:rPr>
          <w:highlight w:val="lightGray"/>
        </w:rPr>
        <w:t>Consider</w:t>
      </w:r>
      <w:commentRangeEnd w:id="2"/>
      <w:r w:rsidR="00B4653F">
        <w:rPr>
          <w:rStyle w:val="CommentReference"/>
        </w:rPr>
        <w:commentReference w:id="2"/>
      </w:r>
      <w:r w:rsidRPr="00FF0945">
        <w:rPr>
          <w:highlight w:val="lightGray"/>
        </w:rPr>
        <w:t xml:space="preserve"> an overarching committee to oversee all management activities</w:t>
      </w:r>
      <w:r w:rsidR="00FF75AB">
        <w:rPr>
          <w:highlight w:val="lightGray"/>
        </w:rPr>
        <w:t>.</w:t>
      </w:r>
    </w:p>
    <w:p w14:paraId="1C218285" w14:textId="426E01BA" w:rsidR="00FF0945" w:rsidRPr="00FF0945" w:rsidRDefault="00FF0945" w:rsidP="00B4653F">
      <w:pPr>
        <w:pStyle w:val="NoSpacing"/>
        <w:numPr>
          <w:ilvl w:val="0"/>
          <w:numId w:val="31"/>
        </w:numPr>
        <w:rPr>
          <w:highlight w:val="lightGray"/>
        </w:rPr>
      </w:pPr>
      <w:r w:rsidRPr="00FF0945">
        <w:rPr>
          <w:highlight w:val="lightGray"/>
        </w:rPr>
        <w:t>Other options: Scientific Advisory Board; Management Committee, Operations Committee, Professional Development Committee, Advisory Board, EDI Committee, Training and Skills Development Committee, Data Management Committee, Monitoring and Evaluation Committee, site-based Advisory Committees, work package teams, Community Advisory Committee, Student/Postdoc network, etc.</w:t>
      </w:r>
    </w:p>
    <w:p w14:paraId="42B00024" w14:textId="33F688B0" w:rsidR="00447098" w:rsidRPr="00527A15" w:rsidRDefault="006621CF" w:rsidP="0022402C">
      <w:pPr>
        <w:pStyle w:val="NoSpacing"/>
        <w:rPr>
          <w:highlight w:val="lightGray"/>
        </w:rPr>
      </w:pPr>
      <w:r>
        <w:rPr>
          <w:highlight w:val="lightGray"/>
        </w:rPr>
        <w:t xml:space="preserve">Include </w:t>
      </w:r>
      <w:r w:rsidR="00527A15" w:rsidRPr="00527A15">
        <w:rPr>
          <w:highlight w:val="lightGray"/>
        </w:rPr>
        <w:t xml:space="preserve">a </w:t>
      </w:r>
      <w:r>
        <w:rPr>
          <w:highlight w:val="lightGray"/>
        </w:rPr>
        <w:t xml:space="preserve">visual to provide an overview of the </w:t>
      </w:r>
      <w:r w:rsidR="00FF75AB">
        <w:rPr>
          <w:highlight w:val="lightGray"/>
        </w:rPr>
        <w:t xml:space="preserve">proposed </w:t>
      </w:r>
      <w:r w:rsidR="00527A15" w:rsidRPr="00527A15">
        <w:rPr>
          <w:highlight w:val="lightGray"/>
        </w:rPr>
        <w:t>structure</w:t>
      </w:r>
      <w:r w:rsidR="00FF75AB">
        <w:rPr>
          <w:highlight w:val="lightGray"/>
        </w:rPr>
        <w:t xml:space="preserve"> and relationships</w:t>
      </w:r>
      <w:r w:rsidR="00527A15" w:rsidRPr="00527A15">
        <w:rPr>
          <w:highlight w:val="lightGray"/>
        </w:rPr>
        <w:t>.</w:t>
      </w:r>
    </w:p>
    <w:p w14:paraId="1315C979" w14:textId="61FE5F8D" w:rsidR="00AE3C40" w:rsidRDefault="00AE3C40" w:rsidP="00AE3C40">
      <w:pPr>
        <w:pStyle w:val="NoSpacing"/>
      </w:pPr>
    </w:p>
    <w:p w14:paraId="5582408D" w14:textId="74465F88" w:rsidR="007F6F2D" w:rsidRPr="00527A15" w:rsidRDefault="00A0757A" w:rsidP="007F6F2D">
      <w:pPr>
        <w:pStyle w:val="NoSpacing"/>
        <w:rPr>
          <w:b/>
        </w:rPr>
      </w:pPr>
      <w:r>
        <w:rPr>
          <w:b/>
        </w:rPr>
        <w:t xml:space="preserve">PROCESSES AND LOGISITICS </w:t>
      </w:r>
    </w:p>
    <w:p w14:paraId="4DE5BD61" w14:textId="4C5205BB" w:rsidR="00FF0945" w:rsidRDefault="006621CF" w:rsidP="0022402C">
      <w:pPr>
        <w:pStyle w:val="NoSpacing"/>
        <w:rPr>
          <w:highlight w:val="lightGray"/>
        </w:rPr>
      </w:pPr>
      <w:r w:rsidRPr="00FF0945">
        <w:rPr>
          <w:highlight w:val="lightGray"/>
        </w:rPr>
        <w:t xml:space="preserve">Consider </w:t>
      </w:r>
      <w:r w:rsidR="00886DAA" w:rsidRPr="00FF0945">
        <w:rPr>
          <w:highlight w:val="lightGray"/>
        </w:rPr>
        <w:t xml:space="preserve">developing </w:t>
      </w:r>
      <w:r w:rsidRPr="00FF0945">
        <w:rPr>
          <w:highlight w:val="lightGray"/>
        </w:rPr>
        <w:t xml:space="preserve">guiding principles/core values and a memorandum of understanding/principles </w:t>
      </w:r>
      <w:r w:rsidR="00FF75AB">
        <w:rPr>
          <w:highlight w:val="lightGray"/>
        </w:rPr>
        <w:t xml:space="preserve">for </w:t>
      </w:r>
      <w:r w:rsidRPr="00FF0945">
        <w:rPr>
          <w:highlight w:val="lightGray"/>
        </w:rPr>
        <w:t>working together/governance code of conduct</w:t>
      </w:r>
      <w:r w:rsidR="00FF0945">
        <w:rPr>
          <w:highlight w:val="lightGray"/>
        </w:rPr>
        <w:t>.</w:t>
      </w:r>
    </w:p>
    <w:p w14:paraId="2CC860E7" w14:textId="1625E551" w:rsidR="006621CF" w:rsidRPr="00FF0945" w:rsidRDefault="00FF0945" w:rsidP="00FF0945">
      <w:pPr>
        <w:pStyle w:val="NoSpacing"/>
        <w:numPr>
          <w:ilvl w:val="1"/>
          <w:numId w:val="27"/>
        </w:numPr>
        <w:rPr>
          <w:highlight w:val="lightGray"/>
        </w:rPr>
      </w:pPr>
      <w:r>
        <w:rPr>
          <w:highlight w:val="lightGray"/>
        </w:rPr>
        <w:t xml:space="preserve">These </w:t>
      </w:r>
      <w:r w:rsidR="006621CF" w:rsidRPr="00FF0945">
        <w:rPr>
          <w:highlight w:val="lightGray"/>
        </w:rPr>
        <w:t xml:space="preserve">can </w:t>
      </w:r>
      <w:r>
        <w:rPr>
          <w:highlight w:val="lightGray"/>
        </w:rPr>
        <w:t xml:space="preserve">provide critical common ground and </w:t>
      </w:r>
      <w:r w:rsidR="006621CF" w:rsidRPr="00FF0945">
        <w:rPr>
          <w:highlight w:val="lightGray"/>
        </w:rPr>
        <w:t>guid</w:t>
      </w:r>
      <w:r>
        <w:rPr>
          <w:highlight w:val="lightGray"/>
        </w:rPr>
        <w:t>ance</w:t>
      </w:r>
      <w:r w:rsidR="006621CF" w:rsidRPr="00FF0945">
        <w:rPr>
          <w:highlight w:val="lightGray"/>
        </w:rPr>
        <w:t xml:space="preserve"> </w:t>
      </w:r>
      <w:r w:rsidR="00FF75AB">
        <w:rPr>
          <w:highlight w:val="lightGray"/>
        </w:rPr>
        <w:t xml:space="preserve">to keep </w:t>
      </w:r>
      <w:r w:rsidR="006621CF" w:rsidRPr="00FF0945">
        <w:rPr>
          <w:highlight w:val="lightGray"/>
        </w:rPr>
        <w:t xml:space="preserve">the project </w:t>
      </w:r>
      <w:r w:rsidR="00FF75AB">
        <w:rPr>
          <w:highlight w:val="lightGray"/>
        </w:rPr>
        <w:t xml:space="preserve">on </w:t>
      </w:r>
      <w:r w:rsidR="006621CF" w:rsidRPr="00FF0945">
        <w:rPr>
          <w:highlight w:val="lightGray"/>
        </w:rPr>
        <w:t>track</w:t>
      </w:r>
      <w:r w:rsidRPr="00FF0945">
        <w:rPr>
          <w:highlight w:val="lightGray"/>
        </w:rPr>
        <w:t>.</w:t>
      </w:r>
    </w:p>
    <w:p w14:paraId="3D291776" w14:textId="4A6F2E3D" w:rsidR="006621CF" w:rsidRPr="000A6AC6" w:rsidRDefault="006621CF" w:rsidP="0022402C">
      <w:pPr>
        <w:pStyle w:val="NoSpacing"/>
        <w:rPr>
          <w:highlight w:val="lightGray"/>
        </w:rPr>
      </w:pPr>
      <w:r w:rsidRPr="00FF0945">
        <w:rPr>
          <w:highlight w:val="lightGray"/>
        </w:rPr>
        <w:t xml:space="preserve">Describe how the core activities of the project </w:t>
      </w:r>
      <w:r w:rsidR="00FF75AB">
        <w:rPr>
          <w:highlight w:val="lightGray"/>
        </w:rPr>
        <w:t xml:space="preserve">(e.g., </w:t>
      </w:r>
      <w:r w:rsidR="00FF75AB" w:rsidRPr="00FF0945">
        <w:rPr>
          <w:highlight w:val="lightGray"/>
        </w:rPr>
        <w:t>research, finances, administration, training, EDI</w:t>
      </w:r>
      <w:r w:rsidR="00FF75AB">
        <w:rPr>
          <w:highlight w:val="lightGray"/>
        </w:rPr>
        <w:t xml:space="preserve">) </w:t>
      </w:r>
      <w:r w:rsidR="00886DAA" w:rsidRPr="00FF0945">
        <w:rPr>
          <w:highlight w:val="lightGray"/>
        </w:rPr>
        <w:t xml:space="preserve">will be </w:t>
      </w:r>
      <w:r w:rsidRPr="00FF0945">
        <w:rPr>
          <w:highlight w:val="lightGray"/>
        </w:rPr>
        <w:t xml:space="preserve">managed by the </w:t>
      </w:r>
      <w:r w:rsidRPr="000A6AC6">
        <w:rPr>
          <w:highlight w:val="lightGray"/>
        </w:rPr>
        <w:t>proposed governance structure</w:t>
      </w:r>
      <w:r w:rsidR="00FF75AB" w:rsidRPr="000A6AC6">
        <w:rPr>
          <w:highlight w:val="lightGray"/>
        </w:rPr>
        <w:t>, including:</w:t>
      </w:r>
    </w:p>
    <w:p w14:paraId="5DA9C1FB" w14:textId="5C5D0A6E" w:rsidR="00886DAA" w:rsidRPr="000A6AC6" w:rsidRDefault="00FF75AB" w:rsidP="00886DAA">
      <w:pPr>
        <w:pStyle w:val="NoSpacing"/>
        <w:numPr>
          <w:ilvl w:val="1"/>
          <w:numId w:val="27"/>
        </w:numPr>
        <w:rPr>
          <w:highlight w:val="lightGray"/>
        </w:rPr>
      </w:pPr>
      <w:r w:rsidRPr="000A6AC6">
        <w:rPr>
          <w:highlight w:val="lightGray"/>
        </w:rPr>
        <w:t xml:space="preserve">A </w:t>
      </w:r>
      <w:r w:rsidR="007F6F2D" w:rsidRPr="000A6AC6">
        <w:rPr>
          <w:highlight w:val="lightGray"/>
        </w:rPr>
        <w:t>clear and transparent mechanism for decision-making</w:t>
      </w:r>
      <w:r w:rsidRPr="000A6AC6">
        <w:rPr>
          <w:highlight w:val="lightGray"/>
        </w:rPr>
        <w:t xml:space="preserve"> and</w:t>
      </w:r>
      <w:r w:rsidR="007F6F2D" w:rsidRPr="000A6AC6">
        <w:rPr>
          <w:highlight w:val="lightGray"/>
        </w:rPr>
        <w:t xml:space="preserve"> priority-setting</w:t>
      </w:r>
      <w:r w:rsidRPr="000A6AC6">
        <w:rPr>
          <w:highlight w:val="lightGray"/>
        </w:rPr>
        <w:t>;</w:t>
      </w:r>
    </w:p>
    <w:p w14:paraId="5360343B" w14:textId="1373E40C" w:rsidR="006621CF" w:rsidRPr="000A6AC6" w:rsidRDefault="00FF75AB" w:rsidP="00886DAA">
      <w:pPr>
        <w:pStyle w:val="NoSpacing"/>
        <w:numPr>
          <w:ilvl w:val="1"/>
          <w:numId w:val="27"/>
        </w:numPr>
        <w:rPr>
          <w:highlight w:val="lightGray"/>
        </w:rPr>
      </w:pPr>
      <w:r w:rsidRPr="000A6AC6">
        <w:rPr>
          <w:rFonts w:eastAsia="Times New Roman"/>
          <w:highlight w:val="lightGray"/>
        </w:rPr>
        <w:t>C</w:t>
      </w:r>
      <w:r w:rsidR="007F6F2D" w:rsidRPr="000A6AC6">
        <w:rPr>
          <w:rFonts w:eastAsia="Times New Roman"/>
          <w:highlight w:val="lightGray"/>
        </w:rPr>
        <w:t xml:space="preserve">oncrete </w:t>
      </w:r>
      <w:r w:rsidR="003D7678" w:rsidRPr="000A6AC6">
        <w:rPr>
          <w:rFonts w:eastAsia="Times New Roman"/>
          <w:highlight w:val="lightGray"/>
        </w:rPr>
        <w:t>processes</w:t>
      </w:r>
      <w:r w:rsidR="007F6F2D" w:rsidRPr="000A6AC6">
        <w:rPr>
          <w:rFonts w:eastAsia="Times New Roman"/>
          <w:highlight w:val="lightGray"/>
        </w:rPr>
        <w:t xml:space="preserve"> for conflict resolution</w:t>
      </w:r>
      <w:r w:rsidR="003D7678" w:rsidRPr="000A6AC6">
        <w:rPr>
          <w:rFonts w:eastAsia="Times New Roman"/>
          <w:highlight w:val="lightGray"/>
        </w:rPr>
        <w:t>, identifying risks and developing mitigation strategies,</w:t>
      </w:r>
      <w:r w:rsidR="007F6F2D" w:rsidRPr="000A6AC6">
        <w:rPr>
          <w:rFonts w:eastAsia="Times New Roman"/>
          <w:highlight w:val="lightGray"/>
        </w:rPr>
        <w:t xml:space="preserve"> and addressing conflicts of interest</w:t>
      </w:r>
      <w:r w:rsidRPr="000A6AC6">
        <w:rPr>
          <w:rFonts w:eastAsia="Times New Roman"/>
          <w:highlight w:val="lightGray"/>
        </w:rPr>
        <w:t>;</w:t>
      </w:r>
    </w:p>
    <w:p w14:paraId="02BB9C46" w14:textId="3EB47B3D" w:rsidR="006621CF" w:rsidRPr="000A6AC6" w:rsidRDefault="00FF75AB" w:rsidP="00FF0945">
      <w:pPr>
        <w:pStyle w:val="NoSpacing"/>
        <w:numPr>
          <w:ilvl w:val="1"/>
          <w:numId w:val="27"/>
        </w:numPr>
        <w:rPr>
          <w:highlight w:val="lightGray"/>
        </w:rPr>
      </w:pPr>
      <w:r w:rsidRPr="000A6AC6">
        <w:rPr>
          <w:highlight w:val="lightGray"/>
        </w:rPr>
        <w:t>C</w:t>
      </w:r>
      <w:r w:rsidR="007F6F2D" w:rsidRPr="000A6AC6">
        <w:rPr>
          <w:highlight w:val="lightGray"/>
        </w:rPr>
        <w:t>oordination and communication among team members and other groups to facilitate collaborations, increase efficiencies, reduce duplications, and maximize research impact</w:t>
      </w:r>
      <w:r w:rsidR="00FF0945" w:rsidRPr="000A6AC6">
        <w:rPr>
          <w:highlight w:val="lightGray"/>
        </w:rPr>
        <w:t xml:space="preserve">, including </w:t>
      </w:r>
      <w:r w:rsidR="006621CF" w:rsidRPr="000A6AC6">
        <w:rPr>
          <w:highlight w:val="lightGray"/>
        </w:rPr>
        <w:t>how management decisions will be communicated between committees, participating institutions, etc.</w:t>
      </w:r>
      <w:r w:rsidRPr="000A6AC6">
        <w:rPr>
          <w:highlight w:val="lightGray"/>
        </w:rPr>
        <w:t>;</w:t>
      </w:r>
    </w:p>
    <w:p w14:paraId="17D79D0B" w14:textId="34B457DE" w:rsidR="00527116" w:rsidRPr="000A6AC6" w:rsidRDefault="00FF75AB" w:rsidP="00FF0945">
      <w:pPr>
        <w:pStyle w:val="NoSpacing"/>
        <w:numPr>
          <w:ilvl w:val="1"/>
          <w:numId w:val="27"/>
        </w:numPr>
        <w:rPr>
          <w:highlight w:val="lightGray"/>
        </w:rPr>
      </w:pPr>
      <w:r w:rsidRPr="000A6AC6">
        <w:rPr>
          <w:rFonts w:eastAsia="Times New Roman"/>
          <w:highlight w:val="lightGray"/>
        </w:rPr>
        <w:t>E</w:t>
      </w:r>
      <w:r w:rsidR="00527116" w:rsidRPr="000A6AC6">
        <w:rPr>
          <w:rFonts w:eastAsia="Times New Roman"/>
          <w:highlight w:val="lightGray"/>
        </w:rPr>
        <w:t>ngag</w:t>
      </w:r>
      <w:r w:rsidRPr="000A6AC6">
        <w:rPr>
          <w:rFonts w:eastAsia="Times New Roman"/>
          <w:highlight w:val="lightGray"/>
        </w:rPr>
        <w:t>ement of</w:t>
      </w:r>
      <w:r w:rsidR="00527116" w:rsidRPr="000A6AC6">
        <w:rPr>
          <w:rFonts w:eastAsia="Times New Roman"/>
          <w:highlight w:val="lightGray"/>
        </w:rPr>
        <w:t xml:space="preserve"> key stakeholders and collaborators from academic, clinical, not-for-profit, industry, government and other relevant sectors, and patients and their families/caregivers</w:t>
      </w:r>
      <w:r w:rsidRPr="000A6AC6">
        <w:rPr>
          <w:rFonts w:eastAsia="Times New Roman"/>
          <w:highlight w:val="lightGray"/>
        </w:rPr>
        <w:t>;</w:t>
      </w:r>
    </w:p>
    <w:p w14:paraId="1DE377CA" w14:textId="372D7D3B" w:rsidR="00527116" w:rsidRPr="000A6AC6" w:rsidRDefault="00FF75AB" w:rsidP="00FF0945">
      <w:pPr>
        <w:pStyle w:val="ListParagraph"/>
        <w:numPr>
          <w:ilvl w:val="1"/>
          <w:numId w:val="27"/>
        </w:numPr>
        <w:spacing w:after="0"/>
        <w:rPr>
          <w:rFonts w:eastAsia="Times New Roman"/>
          <w:color w:val="000000" w:themeColor="text1"/>
          <w:highlight w:val="lightGray"/>
        </w:rPr>
      </w:pPr>
      <w:r w:rsidRPr="000A6AC6">
        <w:rPr>
          <w:rFonts w:eastAsia="Times New Roman"/>
          <w:color w:val="000000" w:themeColor="text1"/>
          <w:highlight w:val="lightGray"/>
        </w:rPr>
        <w:t>I</w:t>
      </w:r>
      <w:r w:rsidR="00527116" w:rsidRPr="000A6AC6">
        <w:rPr>
          <w:rFonts w:eastAsia="Times New Roman"/>
          <w:color w:val="000000" w:themeColor="text1"/>
          <w:highlight w:val="lightGray"/>
        </w:rPr>
        <w:t>ndependent scientific advice and advice on ethical, legal and/or EDI</w:t>
      </w:r>
      <w:r w:rsidRPr="000A6AC6">
        <w:rPr>
          <w:rFonts w:eastAsia="Times New Roman"/>
          <w:color w:val="000000" w:themeColor="text1"/>
          <w:highlight w:val="lightGray"/>
        </w:rPr>
        <w:t>;</w:t>
      </w:r>
    </w:p>
    <w:p w14:paraId="1384BDCE" w14:textId="636720C9" w:rsidR="007F6F2D" w:rsidRPr="000A6AC6" w:rsidRDefault="00FF75AB" w:rsidP="00FF0945">
      <w:pPr>
        <w:pStyle w:val="NoSpacing"/>
        <w:numPr>
          <w:ilvl w:val="1"/>
          <w:numId w:val="27"/>
        </w:numPr>
        <w:rPr>
          <w:highlight w:val="lightGray"/>
        </w:rPr>
      </w:pPr>
      <w:r w:rsidRPr="000A6AC6">
        <w:rPr>
          <w:highlight w:val="lightGray"/>
        </w:rPr>
        <w:t>C</w:t>
      </w:r>
      <w:r w:rsidR="007F6F2D" w:rsidRPr="000A6AC6">
        <w:rPr>
          <w:highlight w:val="lightGray"/>
        </w:rPr>
        <w:t xml:space="preserve">oordination of and support for the training and mentoring environment, including the extent to which EDI is considered in mentoring, training and access to opportunities, as well as </w:t>
      </w:r>
      <w:r w:rsidR="003D7678" w:rsidRPr="000A6AC6">
        <w:rPr>
          <w:highlight w:val="lightGray"/>
        </w:rPr>
        <w:t xml:space="preserve">the </w:t>
      </w:r>
      <w:r w:rsidR="007F6F2D" w:rsidRPr="000A6AC6">
        <w:rPr>
          <w:highlight w:val="lightGray"/>
        </w:rPr>
        <w:t xml:space="preserve">capacity and expertise to deliver </w:t>
      </w:r>
      <w:r w:rsidR="003D7678" w:rsidRPr="000A6AC6">
        <w:rPr>
          <w:highlight w:val="lightGray"/>
        </w:rPr>
        <w:t>these</w:t>
      </w:r>
      <w:r w:rsidR="007F6F2D" w:rsidRPr="000A6AC6">
        <w:rPr>
          <w:highlight w:val="lightGray"/>
        </w:rPr>
        <w:t xml:space="preserve"> activities</w:t>
      </w:r>
      <w:r w:rsidRPr="000A6AC6">
        <w:rPr>
          <w:highlight w:val="lightGray"/>
        </w:rPr>
        <w:t>; and</w:t>
      </w:r>
    </w:p>
    <w:p w14:paraId="41C6BBC3" w14:textId="387C6250" w:rsidR="00527116" w:rsidRPr="000A6AC6" w:rsidRDefault="00FF75AB" w:rsidP="00FF0945">
      <w:pPr>
        <w:pStyle w:val="ListParagraph"/>
        <w:numPr>
          <w:ilvl w:val="1"/>
          <w:numId w:val="27"/>
        </w:numPr>
        <w:spacing w:after="0"/>
        <w:rPr>
          <w:rFonts w:eastAsia="Times New Roman"/>
          <w:color w:val="000000" w:themeColor="text1"/>
          <w:highlight w:val="lightGray"/>
        </w:rPr>
      </w:pPr>
      <w:r w:rsidRPr="000A6AC6">
        <w:rPr>
          <w:rFonts w:eastAsia="Times New Roman"/>
          <w:color w:val="000000" w:themeColor="text1"/>
          <w:highlight w:val="lightGray"/>
        </w:rPr>
        <w:t>C</w:t>
      </w:r>
      <w:r w:rsidR="00527116" w:rsidRPr="000A6AC6">
        <w:rPr>
          <w:rFonts w:eastAsia="Times New Roman"/>
          <w:color w:val="000000" w:themeColor="text1"/>
          <w:highlight w:val="lightGray"/>
        </w:rPr>
        <w:t>oncrete strategies to manage sustainability beyond the funding period.</w:t>
      </w:r>
    </w:p>
    <w:p w14:paraId="68C2B0C6" w14:textId="191C28C2" w:rsidR="00FE0AF0" w:rsidRPr="0022402C" w:rsidRDefault="00FE0AF0" w:rsidP="0022402C">
      <w:pPr>
        <w:spacing w:after="0"/>
        <w:rPr>
          <w:rFonts w:eastAsia="Times New Roman"/>
          <w:highlight w:val="lightGray"/>
        </w:rPr>
      </w:pPr>
      <w:r w:rsidRPr="0022402C">
        <w:rPr>
          <w:rFonts w:eastAsia="Times New Roman"/>
          <w:highlight w:val="lightGray"/>
        </w:rPr>
        <w:t>Outline the membership selection process</w:t>
      </w:r>
      <w:r w:rsidR="00FF0945" w:rsidRPr="0022402C">
        <w:rPr>
          <w:rFonts w:eastAsia="Times New Roman"/>
          <w:highlight w:val="lightGray"/>
        </w:rPr>
        <w:t>, including EDI considerations related to committee/board composition,</w:t>
      </w:r>
      <w:r w:rsidRPr="0022402C">
        <w:rPr>
          <w:rFonts w:eastAsia="Times New Roman"/>
          <w:highlight w:val="lightGray"/>
        </w:rPr>
        <w:t xml:space="preserve"> </w:t>
      </w:r>
      <w:r w:rsidR="00FF0945" w:rsidRPr="0022402C">
        <w:rPr>
          <w:rFonts w:eastAsia="Times New Roman"/>
          <w:highlight w:val="lightGray"/>
        </w:rPr>
        <w:t xml:space="preserve">plus </w:t>
      </w:r>
      <w:r w:rsidRPr="0022402C">
        <w:rPr>
          <w:rFonts w:eastAsia="Times New Roman"/>
          <w:highlight w:val="lightGray"/>
        </w:rPr>
        <w:t>term of service</w:t>
      </w:r>
      <w:r w:rsidR="00FF0945" w:rsidRPr="0022402C">
        <w:rPr>
          <w:highlight w:val="lightGray"/>
        </w:rPr>
        <w:t xml:space="preserve"> (full grant term vs rotating membership to increase access to leadership opportunities)</w:t>
      </w:r>
      <w:r w:rsidRPr="0022402C">
        <w:rPr>
          <w:highlight w:val="lightGray"/>
        </w:rPr>
        <w:t xml:space="preserve"> and </w:t>
      </w:r>
      <w:r w:rsidRPr="0022402C">
        <w:rPr>
          <w:rFonts w:eastAsia="Times New Roman"/>
          <w:highlight w:val="lightGray"/>
        </w:rPr>
        <w:t>other key details (e.g., meeting frequency, in-person or virtual).</w:t>
      </w:r>
    </w:p>
    <w:p w14:paraId="2F02E6AA" w14:textId="77777777" w:rsidR="0022402C" w:rsidRDefault="0022402C" w:rsidP="0022402C">
      <w:pPr>
        <w:pStyle w:val="NoSpacing"/>
        <w:rPr>
          <w:highlight w:val="lightGray"/>
        </w:rPr>
      </w:pPr>
    </w:p>
    <w:p w14:paraId="6F59FFA4" w14:textId="03E62415" w:rsidR="00527A15" w:rsidRPr="000A6AC6" w:rsidRDefault="00527A15" w:rsidP="0022402C">
      <w:pPr>
        <w:pStyle w:val="NoSpacing"/>
        <w:rPr>
          <w:highlight w:val="lightGray"/>
        </w:rPr>
      </w:pPr>
      <w:r w:rsidRPr="000A6AC6">
        <w:rPr>
          <w:highlight w:val="lightGray"/>
        </w:rPr>
        <w:t xml:space="preserve">Ensure all associated </w:t>
      </w:r>
      <w:r w:rsidR="00B33554" w:rsidRPr="000A6AC6">
        <w:rPr>
          <w:highlight w:val="lightGray"/>
        </w:rPr>
        <w:t xml:space="preserve">costs </w:t>
      </w:r>
      <w:r w:rsidRPr="000A6AC6">
        <w:rPr>
          <w:highlight w:val="lightGray"/>
        </w:rPr>
        <w:t>(</w:t>
      </w:r>
      <w:r w:rsidR="00B33554" w:rsidRPr="000A6AC6">
        <w:rPr>
          <w:highlight w:val="lightGray"/>
        </w:rPr>
        <w:t xml:space="preserve">e.g., </w:t>
      </w:r>
      <w:r w:rsidRPr="000A6AC6">
        <w:rPr>
          <w:highlight w:val="lightGray"/>
        </w:rPr>
        <w:t>staff, coordination, meeting logistics</w:t>
      </w:r>
      <w:r w:rsidR="00B33554" w:rsidRPr="000A6AC6">
        <w:rPr>
          <w:highlight w:val="lightGray"/>
        </w:rPr>
        <w:t xml:space="preserve">) </w:t>
      </w:r>
      <w:r w:rsidRPr="000A6AC6">
        <w:rPr>
          <w:highlight w:val="lightGray"/>
        </w:rPr>
        <w:t>are reflected in the budget</w:t>
      </w:r>
      <w:r w:rsidR="00FF0945" w:rsidRPr="000A6AC6">
        <w:rPr>
          <w:highlight w:val="lightGray"/>
        </w:rPr>
        <w:t>.</w:t>
      </w:r>
    </w:p>
    <w:p w14:paraId="1F403C09" w14:textId="77777777" w:rsidR="00527116" w:rsidRPr="000A6AC6" w:rsidRDefault="00527116" w:rsidP="00FE0AF0">
      <w:pPr>
        <w:spacing w:after="0" w:line="240" w:lineRule="auto"/>
        <w:rPr>
          <w:rFonts w:eastAsia="Times New Roman"/>
        </w:rPr>
      </w:pPr>
    </w:p>
    <w:p w14:paraId="2E1A8023" w14:textId="3BA87FA1" w:rsidR="00527116" w:rsidRPr="000A6AC6" w:rsidRDefault="00A0757A" w:rsidP="00FE0AF0">
      <w:pPr>
        <w:spacing w:after="0" w:line="240" w:lineRule="auto"/>
        <w:rPr>
          <w:b/>
        </w:rPr>
      </w:pPr>
      <w:r>
        <w:rPr>
          <w:b/>
        </w:rPr>
        <w:t xml:space="preserve">MEMBER EXPERTISE AND RESPONSIBILITIES </w:t>
      </w:r>
    </w:p>
    <w:p w14:paraId="0F477380" w14:textId="04281CF3" w:rsidR="00FF75AB" w:rsidRPr="0022402C" w:rsidRDefault="00FF75AB" w:rsidP="0022402C">
      <w:pPr>
        <w:spacing w:after="0"/>
        <w:rPr>
          <w:rFonts w:eastAsia="Times New Roman"/>
          <w:highlight w:val="lightGray"/>
        </w:rPr>
      </w:pPr>
      <w:r w:rsidRPr="0022402C">
        <w:rPr>
          <w:rFonts w:eastAsia="Times New Roman"/>
          <w:highlight w:val="lightGray"/>
        </w:rPr>
        <w:t xml:space="preserve">Outline </w:t>
      </w:r>
      <w:r w:rsidR="00FE0AF0" w:rsidRPr="0022402C">
        <w:rPr>
          <w:rFonts w:eastAsia="Times New Roman"/>
          <w:highlight w:val="lightGray"/>
        </w:rPr>
        <w:t>members’ expertise (KM and scientific, as well as leadership and governance).</w:t>
      </w:r>
    </w:p>
    <w:p w14:paraId="18DB8DE3" w14:textId="65FDBC0A" w:rsidR="00527116" w:rsidRPr="0022402C" w:rsidRDefault="00FF75AB" w:rsidP="0022402C">
      <w:pPr>
        <w:spacing w:after="0"/>
        <w:rPr>
          <w:rFonts w:eastAsia="Times New Roman"/>
          <w:highlight w:val="lightGray"/>
        </w:rPr>
      </w:pPr>
      <w:r w:rsidRPr="0022402C">
        <w:rPr>
          <w:rFonts w:eastAsia="Times New Roman"/>
          <w:highlight w:val="lightGray"/>
        </w:rPr>
        <w:t>Describe members’ expected role(s) and contribution(s).</w:t>
      </w:r>
    </w:p>
    <w:p w14:paraId="2ED4C3F1" w14:textId="77777777" w:rsidR="00FF75AB" w:rsidRPr="000A6AC6" w:rsidRDefault="00FF75AB" w:rsidP="00527116">
      <w:pPr>
        <w:pStyle w:val="NoSpacing"/>
      </w:pPr>
    </w:p>
    <w:p w14:paraId="39553925" w14:textId="11476295" w:rsidR="00527116" w:rsidRPr="000A6AC6" w:rsidRDefault="00A0757A" w:rsidP="00152397">
      <w:pPr>
        <w:pStyle w:val="NoSpacing"/>
        <w:rPr>
          <w:b/>
        </w:rPr>
      </w:pPr>
      <w:r>
        <w:rPr>
          <w:b/>
        </w:rPr>
        <w:t>EQUITY, DIVERSITY, AND INCLUSION CONSIDERATIONS</w:t>
      </w:r>
      <w:commentRangeStart w:id="4"/>
      <w:commentRangeEnd w:id="4"/>
      <w:r w:rsidR="00FF75AB" w:rsidRPr="000A6AC6">
        <w:rPr>
          <w:rStyle w:val="CommentReference"/>
        </w:rPr>
        <w:commentReference w:id="4"/>
      </w:r>
    </w:p>
    <w:p w14:paraId="09FEF13E" w14:textId="2AF81EBB" w:rsidR="00527116" w:rsidRPr="000A6AC6" w:rsidRDefault="00527116" w:rsidP="0022402C">
      <w:pPr>
        <w:pStyle w:val="NoSpacing"/>
        <w:rPr>
          <w:highlight w:val="lightGray"/>
        </w:rPr>
      </w:pPr>
      <w:r w:rsidRPr="000A6AC6">
        <w:rPr>
          <w:highlight w:val="lightGray"/>
        </w:rPr>
        <w:t>Describe the EDI plan to ensure meaningful and equitable engagement of diverse perspectives (early career researchers, diverse investigators, patients, sectors, etc.)</w:t>
      </w:r>
      <w:r w:rsidR="00FF75AB" w:rsidRPr="000A6AC6">
        <w:rPr>
          <w:highlight w:val="lightGray"/>
        </w:rPr>
        <w:t xml:space="preserve"> using </w:t>
      </w:r>
      <w:r w:rsidRPr="000A6AC6">
        <w:rPr>
          <w:highlight w:val="lightGray"/>
        </w:rPr>
        <w:t>inclusive processes.</w:t>
      </w:r>
    </w:p>
    <w:p w14:paraId="65937DFB" w14:textId="1F13569F" w:rsidR="00FF0945" w:rsidRPr="000A6AC6" w:rsidRDefault="00FF0945" w:rsidP="00152397">
      <w:pPr>
        <w:pStyle w:val="NoSpacing"/>
        <w:numPr>
          <w:ilvl w:val="1"/>
          <w:numId w:val="30"/>
        </w:numPr>
        <w:rPr>
          <w:highlight w:val="lightGray"/>
          <w:u w:val="single"/>
        </w:rPr>
      </w:pPr>
      <w:r w:rsidRPr="000A6AC6">
        <w:rPr>
          <w:highlight w:val="lightGray"/>
        </w:rPr>
        <w:t xml:space="preserve">Ensure the different </w:t>
      </w:r>
      <w:r w:rsidR="00B33554" w:rsidRPr="000A6AC6">
        <w:rPr>
          <w:highlight w:val="lightGray"/>
        </w:rPr>
        <w:t xml:space="preserve">involved </w:t>
      </w:r>
      <w:r w:rsidRPr="000A6AC6">
        <w:rPr>
          <w:highlight w:val="lightGray"/>
        </w:rPr>
        <w:t>disciplines, institutions, sectors, geographical regions, etc. are reflected within the management structure.</w:t>
      </w:r>
    </w:p>
    <w:p w14:paraId="0F8852AA" w14:textId="296B1E85" w:rsidR="000471EB" w:rsidRPr="000A6AC6" w:rsidRDefault="003D7678" w:rsidP="0022402C">
      <w:pPr>
        <w:pStyle w:val="NoSpacing"/>
      </w:pPr>
      <w:r w:rsidRPr="000A6AC6">
        <w:rPr>
          <w:highlight w:val="lightGray"/>
        </w:rPr>
        <w:t xml:space="preserve">Clarify defined pathways to leadership for early- and mid-career researchers </w:t>
      </w:r>
      <w:r w:rsidR="00FE0AF0" w:rsidRPr="000A6AC6">
        <w:rPr>
          <w:highlight w:val="lightGray"/>
        </w:rPr>
        <w:t xml:space="preserve">from a diversity of backgrounds to build capacity and support future plans for </w:t>
      </w:r>
      <w:r w:rsidRPr="000A6AC6">
        <w:rPr>
          <w:highlight w:val="lightGray"/>
        </w:rPr>
        <w:t>succession.</w:t>
      </w:r>
    </w:p>
    <w:sectPr w:rsidR="000471EB" w:rsidRPr="000A6AC6" w:rsidSect="00086482">
      <w:headerReference w:type="default" r:id="rId10"/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hor" w:initials="A">
    <w:p w14:paraId="2F3A2A17" w14:textId="77777777" w:rsidR="00A0757A" w:rsidRDefault="00086482" w:rsidP="00F0552B">
      <w:pPr>
        <w:rPr>
          <w:sz w:val="20"/>
          <w:szCs w:val="20"/>
          <w:highlight w:val="yellow"/>
        </w:rPr>
      </w:pPr>
      <w:r>
        <w:rPr>
          <w:rStyle w:val="CommentReference"/>
        </w:rPr>
        <w:annotationRef/>
      </w:r>
      <w:r w:rsidR="000A6AC6">
        <w:rPr>
          <w:sz w:val="20"/>
          <w:szCs w:val="20"/>
        </w:rPr>
        <w:t>HOW TO USE THIS RESOURCE</w:t>
      </w:r>
      <w:r w:rsidR="000A6AC6">
        <w:rPr>
          <w:sz w:val="20"/>
          <w:szCs w:val="20"/>
        </w:rPr>
        <w:cr/>
      </w:r>
      <w:r w:rsidR="000A6AC6">
        <w:rPr>
          <w:sz w:val="20"/>
          <w:szCs w:val="20"/>
        </w:rPr>
        <w:cr/>
        <w:t xml:space="preserve">This resource can be converted into a template for your Governance Plan because the document is formatted in accordance with </w:t>
      </w:r>
      <w:hyperlink r:id="rId1" w:history="1">
        <w:r w:rsidR="000A6AC6" w:rsidRPr="00F0552B">
          <w:rPr>
            <w:rStyle w:val="Hyperlink"/>
            <w:sz w:val="20"/>
            <w:szCs w:val="20"/>
          </w:rPr>
          <w:t>CIHR’s requirements for PDF attachments</w:t>
        </w:r>
      </w:hyperlink>
      <w:r w:rsidR="000A6AC6">
        <w:rPr>
          <w:sz w:val="20"/>
          <w:szCs w:val="20"/>
        </w:rPr>
        <w:t>. Specifically, the margins are set to 0.75” (=1.9 cm) all around, mandatory font is Times New Roman (12 pt., black only), and default paragraph spacing is ‘single’, non-condensed (Apple Pages: in the Format sidebar, select “Lines” with a value of 1).</w:t>
      </w:r>
      <w:r w:rsidR="000A6AC6">
        <w:rPr>
          <w:sz w:val="20"/>
          <w:szCs w:val="20"/>
        </w:rPr>
        <w:cr/>
      </w:r>
      <w:r w:rsidR="000A6AC6">
        <w:rPr>
          <w:sz w:val="20"/>
          <w:szCs w:val="20"/>
        </w:rPr>
        <w:cr/>
        <w:t xml:space="preserve">This resource contains suggestions to help you develop a robust Plan amidst potentially limited CIHR instructions. These are based on SPARC experience with similar CIHR and/or Tri-Agency competitions. Please use them as prompts to develop unique content tailored to your proposal. As we gather new information about best practices, we will update the template accordingly. </w:t>
      </w:r>
    </w:p>
    <w:p w14:paraId="39BBCBBC" w14:textId="7188FC0B" w:rsidR="000A6AC6" w:rsidRDefault="000A6AC6" w:rsidP="00F0552B">
      <w:r>
        <w:rPr>
          <w:sz w:val="20"/>
          <w:szCs w:val="20"/>
        </w:rPr>
        <w:cr/>
        <w:t xml:space="preserve">Consult the </w:t>
      </w:r>
      <w:hyperlink r:id="rId2" w:history="1">
        <w:r w:rsidRPr="00F0552B">
          <w:rPr>
            <w:rStyle w:val="Hyperlink"/>
            <w:sz w:val="20"/>
            <w:szCs w:val="20"/>
          </w:rPr>
          <w:t>ResearchNet</w:t>
        </w:r>
      </w:hyperlink>
      <w:r>
        <w:rPr>
          <w:sz w:val="20"/>
          <w:szCs w:val="20"/>
        </w:rPr>
        <w:t xml:space="preserve"> Funding Opportunity to confirm competition details; otherwise, use the SPARC-suggested headings – or any others that better align with your research – to help you organize your content. If there is any discrepancy between this document and the Funding Opportunity, follow the ResearchNet instructions.</w:t>
      </w:r>
      <w:r>
        <w:rPr>
          <w:sz w:val="20"/>
          <w:szCs w:val="20"/>
        </w:rPr>
        <w:cr/>
      </w:r>
      <w:r>
        <w:rPr>
          <w:sz w:val="20"/>
          <w:szCs w:val="20"/>
        </w:rPr>
        <w:cr/>
        <w:t xml:space="preserve">Prior to submission, be sure you have deleted all comments and </w:t>
      </w:r>
      <w:r w:rsidRPr="00A0757A">
        <w:rPr>
          <w:sz w:val="20"/>
          <w:szCs w:val="20"/>
          <w:highlight w:val="lightGray"/>
        </w:rPr>
        <w:t>grey-highlighted prompts</w:t>
      </w:r>
      <w:r>
        <w:rPr>
          <w:sz w:val="20"/>
          <w:szCs w:val="20"/>
        </w:rPr>
        <w:t>.</w:t>
      </w:r>
    </w:p>
  </w:comment>
  <w:comment w:id="1" w:author="Author" w:initials="A">
    <w:p w14:paraId="30108146" w14:textId="1CD24F38" w:rsidR="00253599" w:rsidRPr="00E96801" w:rsidRDefault="00447098" w:rsidP="00253599">
      <w:pPr>
        <w:pStyle w:val="NoSpacing"/>
      </w:pPr>
      <w:r>
        <w:rPr>
          <w:rStyle w:val="CommentTextChar"/>
        </w:rPr>
        <w:annotationRef/>
      </w:r>
      <w:r w:rsidR="00253599" w:rsidRPr="00E96801">
        <w:t>This and the subsequent headings and corresponding bullet point prompts are suggestions based on:</w:t>
      </w:r>
    </w:p>
    <w:p w14:paraId="043C170D" w14:textId="3A79F6AB" w:rsidR="00253599" w:rsidRPr="00E96801" w:rsidRDefault="00253599" w:rsidP="00253599">
      <w:pPr>
        <w:pStyle w:val="CommentTex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CIHR objectives, evaluation criteria and/or application instructions pertaining to Governance Plans;</w:t>
      </w:r>
      <w:r w:rsidRPr="00E96801">
        <w:rPr>
          <w:sz w:val="24"/>
          <w:szCs w:val="24"/>
        </w:rPr>
        <w:t xml:space="preserve"> and</w:t>
      </w:r>
    </w:p>
    <w:p w14:paraId="7EA784CA" w14:textId="77777777" w:rsidR="00447098" w:rsidRDefault="00253599" w:rsidP="00253599">
      <w:pPr>
        <w:pStyle w:val="CommentText"/>
        <w:numPr>
          <w:ilvl w:val="0"/>
          <w:numId w:val="2"/>
        </w:numPr>
        <w:spacing w:after="0"/>
        <w:rPr>
          <w:sz w:val="24"/>
          <w:szCs w:val="24"/>
        </w:rPr>
      </w:pPr>
      <w:r w:rsidRPr="00E96801">
        <w:rPr>
          <w:sz w:val="24"/>
          <w:szCs w:val="24"/>
        </w:rPr>
        <w:t>Additional ideas from other relevant Tri-Agency competitions.</w:t>
      </w:r>
    </w:p>
    <w:p w14:paraId="7FE6034E" w14:textId="77777777" w:rsidR="00253599" w:rsidRDefault="00253599" w:rsidP="00253599">
      <w:pPr>
        <w:pStyle w:val="CommentText"/>
        <w:spacing w:after="0"/>
        <w:rPr>
          <w:sz w:val="24"/>
          <w:szCs w:val="24"/>
        </w:rPr>
      </w:pPr>
    </w:p>
    <w:p w14:paraId="2C176EED" w14:textId="2D09716E" w:rsidR="00253599" w:rsidRPr="00253599" w:rsidRDefault="00253599" w:rsidP="00253599">
      <w:pPr>
        <w:pStyle w:val="NoSpacing"/>
      </w:pPr>
      <w:r w:rsidRPr="00253599">
        <w:rPr>
          <w:u w:val="single"/>
        </w:rPr>
        <w:t>An organizing principle for consideration:</w:t>
      </w:r>
      <w:r>
        <w:t xml:space="preserve"> </w:t>
      </w:r>
      <w:r w:rsidR="00FF75AB">
        <w:t>U</w:t>
      </w:r>
      <w:r w:rsidRPr="00253599">
        <w:t>se headings to confirm that all key requirements have been met</w:t>
      </w:r>
      <w:r>
        <w:t>, for example, k</w:t>
      </w:r>
      <w:r w:rsidRPr="00253599">
        <w:t>eywords from the CIHR instructions</w:t>
      </w:r>
      <w:r>
        <w:t>.</w:t>
      </w:r>
    </w:p>
  </w:comment>
  <w:comment w:id="2" w:author="Author" w:initials="A">
    <w:p w14:paraId="5246D683" w14:textId="0EA297C0" w:rsidR="00B4653F" w:rsidRDefault="00B4653F">
      <w:pPr>
        <w:pStyle w:val="CommentText"/>
      </w:pPr>
      <w:r>
        <w:rPr>
          <w:rStyle w:val="CommentReference"/>
        </w:rPr>
        <w:annotationRef/>
      </w:r>
      <w:r>
        <w:t xml:space="preserve">While this template includes bullets, please ensure that your final version is in narrative form. </w:t>
      </w:r>
      <w:bookmarkStart w:id="3" w:name="_GoBack"/>
      <w:bookmarkEnd w:id="3"/>
    </w:p>
  </w:comment>
  <w:comment w:id="4" w:author="Author" w:initials="A">
    <w:p w14:paraId="27D285B0" w14:textId="2CFD0106" w:rsidR="00FF75AB" w:rsidRDefault="00FF75AB">
      <w:pPr>
        <w:pStyle w:val="CommentText"/>
      </w:pPr>
      <w:r>
        <w:rPr>
          <w:rStyle w:val="CommentReference"/>
        </w:rPr>
        <w:annotationRef/>
      </w:r>
      <w:r>
        <w:t>Depending on the Funding Opportunity requirements, use a standalone section to address EDI considerations or embed the content above within the suggested “Processes and Logistics” section.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BBCBBC" w15:done="0"/>
  <w15:commentEx w15:paraId="2C176EED" w15:done="0"/>
  <w15:commentEx w15:paraId="5246D683" w15:done="0"/>
  <w15:commentEx w15:paraId="27D285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BBCBBC" w16cid:durableId="3E6B94C3"/>
  <w16cid:commentId w16cid:paraId="2C176EED" w16cid:durableId="38E9C4E6"/>
  <w16cid:commentId w16cid:paraId="5246D683" w16cid:durableId="28E0F689"/>
  <w16cid:commentId w16cid:paraId="27D285B0" w16cid:durableId="5F218B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6AB3D" w14:textId="77777777" w:rsidR="001F2F08" w:rsidRDefault="001F2F08" w:rsidP="00A0757A">
      <w:pPr>
        <w:spacing w:after="0" w:line="240" w:lineRule="auto"/>
      </w:pPr>
      <w:r>
        <w:separator/>
      </w:r>
    </w:p>
  </w:endnote>
  <w:endnote w:type="continuationSeparator" w:id="0">
    <w:p w14:paraId="4BDDF625" w14:textId="77777777" w:rsidR="001F2F08" w:rsidRDefault="001F2F08" w:rsidP="00A07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B8CD4E" w14:textId="77777777" w:rsidR="001F2F08" w:rsidRDefault="001F2F08" w:rsidP="00A0757A">
      <w:pPr>
        <w:spacing w:after="0" w:line="240" w:lineRule="auto"/>
      </w:pPr>
      <w:r>
        <w:separator/>
      </w:r>
    </w:p>
  </w:footnote>
  <w:footnote w:type="continuationSeparator" w:id="0">
    <w:p w14:paraId="4B4313B6" w14:textId="77777777" w:rsidR="001F2F08" w:rsidRDefault="001F2F08" w:rsidP="00A07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A92E" w14:textId="1094EFD2" w:rsidR="00A0757A" w:rsidRDefault="00A0757A">
    <w:pPr>
      <w:pStyle w:val="Header"/>
    </w:pPr>
    <w:r>
      <w:t>Governance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013CE"/>
    <w:multiLevelType w:val="hybridMultilevel"/>
    <w:tmpl w:val="014C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1C17"/>
    <w:multiLevelType w:val="hybridMultilevel"/>
    <w:tmpl w:val="4144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C537D"/>
    <w:multiLevelType w:val="hybridMultilevel"/>
    <w:tmpl w:val="533C8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6CEC8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237E9"/>
    <w:multiLevelType w:val="hybridMultilevel"/>
    <w:tmpl w:val="963049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6CEC8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F06C97"/>
    <w:multiLevelType w:val="multilevel"/>
    <w:tmpl w:val="6B76E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5282E"/>
    <w:multiLevelType w:val="multilevel"/>
    <w:tmpl w:val="6360B7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F9761F"/>
    <w:multiLevelType w:val="multilevel"/>
    <w:tmpl w:val="9732E4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67364"/>
    <w:multiLevelType w:val="hybridMultilevel"/>
    <w:tmpl w:val="1F7C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85F17"/>
    <w:multiLevelType w:val="multilevel"/>
    <w:tmpl w:val="85EA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04F5F"/>
    <w:multiLevelType w:val="hybridMultilevel"/>
    <w:tmpl w:val="45F05C70"/>
    <w:lvl w:ilvl="0" w:tplc="E710DB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DE0481"/>
    <w:multiLevelType w:val="hybridMultilevel"/>
    <w:tmpl w:val="0BE6B2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405928"/>
    <w:multiLevelType w:val="hybridMultilevel"/>
    <w:tmpl w:val="3724C3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170F05"/>
    <w:multiLevelType w:val="multilevel"/>
    <w:tmpl w:val="A87E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DB129B"/>
    <w:multiLevelType w:val="hybridMultilevel"/>
    <w:tmpl w:val="15D635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137F4"/>
    <w:multiLevelType w:val="hybridMultilevel"/>
    <w:tmpl w:val="364439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0104CB"/>
    <w:multiLevelType w:val="hybridMultilevel"/>
    <w:tmpl w:val="31282D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6E356C"/>
    <w:multiLevelType w:val="multilevel"/>
    <w:tmpl w:val="696CF3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3F2D76"/>
    <w:multiLevelType w:val="hybridMultilevel"/>
    <w:tmpl w:val="C532A632"/>
    <w:lvl w:ilvl="0" w:tplc="E710DB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AF19E7"/>
    <w:multiLevelType w:val="hybridMultilevel"/>
    <w:tmpl w:val="B5A2B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E40D5"/>
    <w:multiLevelType w:val="hybridMultilevel"/>
    <w:tmpl w:val="7A58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43340"/>
    <w:multiLevelType w:val="hybridMultilevel"/>
    <w:tmpl w:val="DDC46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74874"/>
    <w:multiLevelType w:val="hybridMultilevel"/>
    <w:tmpl w:val="80A25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71B9B"/>
    <w:multiLevelType w:val="multilevel"/>
    <w:tmpl w:val="5AC83D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3654B7"/>
    <w:multiLevelType w:val="multilevel"/>
    <w:tmpl w:val="8232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565838"/>
    <w:multiLevelType w:val="hybridMultilevel"/>
    <w:tmpl w:val="8BF6FE28"/>
    <w:lvl w:ilvl="0" w:tplc="0F6CEC8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FE6EEE"/>
    <w:multiLevelType w:val="hybridMultilevel"/>
    <w:tmpl w:val="F55ED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43FE0"/>
    <w:multiLevelType w:val="hybridMultilevel"/>
    <w:tmpl w:val="6862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D4C18"/>
    <w:multiLevelType w:val="multilevel"/>
    <w:tmpl w:val="F6C8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F93BEF"/>
    <w:multiLevelType w:val="hybridMultilevel"/>
    <w:tmpl w:val="F4BA1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A3A49"/>
    <w:multiLevelType w:val="multilevel"/>
    <w:tmpl w:val="879E5E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555B75"/>
    <w:multiLevelType w:val="hybridMultilevel"/>
    <w:tmpl w:val="CC381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26"/>
  </w:num>
  <w:num w:numId="4">
    <w:abstractNumId w:val="20"/>
  </w:num>
  <w:num w:numId="5">
    <w:abstractNumId w:val="28"/>
  </w:num>
  <w:num w:numId="6">
    <w:abstractNumId w:val="22"/>
  </w:num>
  <w:num w:numId="7">
    <w:abstractNumId w:val="5"/>
  </w:num>
  <w:num w:numId="8">
    <w:abstractNumId w:val="16"/>
  </w:num>
  <w:num w:numId="9">
    <w:abstractNumId w:val="13"/>
  </w:num>
  <w:num w:numId="10">
    <w:abstractNumId w:val="19"/>
  </w:num>
  <w:num w:numId="11">
    <w:abstractNumId w:val="18"/>
  </w:num>
  <w:num w:numId="12">
    <w:abstractNumId w:val="14"/>
  </w:num>
  <w:num w:numId="13">
    <w:abstractNumId w:val="25"/>
  </w:num>
  <w:num w:numId="14">
    <w:abstractNumId w:val="7"/>
  </w:num>
  <w:num w:numId="15">
    <w:abstractNumId w:val="11"/>
  </w:num>
  <w:num w:numId="16">
    <w:abstractNumId w:val="12"/>
  </w:num>
  <w:num w:numId="17">
    <w:abstractNumId w:val="8"/>
  </w:num>
  <w:num w:numId="18">
    <w:abstractNumId w:val="6"/>
  </w:num>
  <w:num w:numId="19">
    <w:abstractNumId w:val="23"/>
  </w:num>
  <w:num w:numId="20">
    <w:abstractNumId w:val="27"/>
  </w:num>
  <w:num w:numId="21">
    <w:abstractNumId w:val="29"/>
  </w:num>
  <w:num w:numId="22">
    <w:abstractNumId w:val="4"/>
  </w:num>
  <w:num w:numId="23">
    <w:abstractNumId w:val="9"/>
  </w:num>
  <w:num w:numId="24">
    <w:abstractNumId w:val="10"/>
  </w:num>
  <w:num w:numId="25">
    <w:abstractNumId w:val="17"/>
  </w:num>
  <w:num w:numId="26">
    <w:abstractNumId w:val="15"/>
  </w:num>
  <w:num w:numId="27">
    <w:abstractNumId w:val="3"/>
  </w:num>
  <w:num w:numId="28">
    <w:abstractNumId w:val="0"/>
  </w:num>
  <w:num w:numId="29">
    <w:abstractNumId w:val="21"/>
  </w:num>
  <w:num w:numId="30">
    <w:abstractNumId w:val="2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482"/>
    <w:rsid w:val="000133E0"/>
    <w:rsid w:val="00022F65"/>
    <w:rsid w:val="00036965"/>
    <w:rsid w:val="000471EB"/>
    <w:rsid w:val="00061DF5"/>
    <w:rsid w:val="00084B5B"/>
    <w:rsid w:val="00086482"/>
    <w:rsid w:val="000A6AC6"/>
    <w:rsid w:val="000C74D7"/>
    <w:rsid w:val="000E0F22"/>
    <w:rsid w:val="00105CB4"/>
    <w:rsid w:val="00136568"/>
    <w:rsid w:val="00152397"/>
    <w:rsid w:val="00185A6A"/>
    <w:rsid w:val="001915B8"/>
    <w:rsid w:val="001B7C04"/>
    <w:rsid w:val="001D6051"/>
    <w:rsid w:val="001F2F08"/>
    <w:rsid w:val="0022402C"/>
    <w:rsid w:val="00236BEA"/>
    <w:rsid w:val="002407D2"/>
    <w:rsid w:val="00241AF6"/>
    <w:rsid w:val="00253599"/>
    <w:rsid w:val="00265121"/>
    <w:rsid w:val="003548F4"/>
    <w:rsid w:val="0036696D"/>
    <w:rsid w:val="00396A12"/>
    <w:rsid w:val="003A042B"/>
    <w:rsid w:val="003B2397"/>
    <w:rsid w:val="003C2B87"/>
    <w:rsid w:val="003D3440"/>
    <w:rsid w:val="003D7678"/>
    <w:rsid w:val="003F7DCD"/>
    <w:rsid w:val="003F7E1A"/>
    <w:rsid w:val="004265C2"/>
    <w:rsid w:val="00427F69"/>
    <w:rsid w:val="00447098"/>
    <w:rsid w:val="00463905"/>
    <w:rsid w:val="004D7286"/>
    <w:rsid w:val="004E74FC"/>
    <w:rsid w:val="004F1CD6"/>
    <w:rsid w:val="00501487"/>
    <w:rsid w:val="00505BB4"/>
    <w:rsid w:val="00520F16"/>
    <w:rsid w:val="00527116"/>
    <w:rsid w:val="00527A15"/>
    <w:rsid w:val="005638BF"/>
    <w:rsid w:val="00582130"/>
    <w:rsid w:val="0058563F"/>
    <w:rsid w:val="005C3791"/>
    <w:rsid w:val="005C7466"/>
    <w:rsid w:val="005E4894"/>
    <w:rsid w:val="005E75D6"/>
    <w:rsid w:val="005F69B2"/>
    <w:rsid w:val="005F737C"/>
    <w:rsid w:val="00603491"/>
    <w:rsid w:val="00636AA5"/>
    <w:rsid w:val="006621CF"/>
    <w:rsid w:val="00670AFD"/>
    <w:rsid w:val="006A56B8"/>
    <w:rsid w:val="006B7204"/>
    <w:rsid w:val="006C0A63"/>
    <w:rsid w:val="006D0888"/>
    <w:rsid w:val="0071021C"/>
    <w:rsid w:val="007212C6"/>
    <w:rsid w:val="00741155"/>
    <w:rsid w:val="007454B8"/>
    <w:rsid w:val="007637BD"/>
    <w:rsid w:val="007A653F"/>
    <w:rsid w:val="007F6F2D"/>
    <w:rsid w:val="0080492A"/>
    <w:rsid w:val="00835405"/>
    <w:rsid w:val="008475EB"/>
    <w:rsid w:val="008621A5"/>
    <w:rsid w:val="00885714"/>
    <w:rsid w:val="00886DAA"/>
    <w:rsid w:val="00893B78"/>
    <w:rsid w:val="008A55A9"/>
    <w:rsid w:val="008B1D25"/>
    <w:rsid w:val="008B735F"/>
    <w:rsid w:val="008D191E"/>
    <w:rsid w:val="008E2EF4"/>
    <w:rsid w:val="008F2A20"/>
    <w:rsid w:val="00906C97"/>
    <w:rsid w:val="00940B0A"/>
    <w:rsid w:val="009753C8"/>
    <w:rsid w:val="0098406E"/>
    <w:rsid w:val="00997543"/>
    <w:rsid w:val="009A5385"/>
    <w:rsid w:val="009B444D"/>
    <w:rsid w:val="009C6231"/>
    <w:rsid w:val="00A0757A"/>
    <w:rsid w:val="00AA4285"/>
    <w:rsid w:val="00AB7B85"/>
    <w:rsid w:val="00AD1661"/>
    <w:rsid w:val="00AD40C7"/>
    <w:rsid w:val="00AE3C40"/>
    <w:rsid w:val="00AF327C"/>
    <w:rsid w:val="00B026C9"/>
    <w:rsid w:val="00B0608B"/>
    <w:rsid w:val="00B13503"/>
    <w:rsid w:val="00B16AC4"/>
    <w:rsid w:val="00B32415"/>
    <w:rsid w:val="00B33554"/>
    <w:rsid w:val="00B4653F"/>
    <w:rsid w:val="00BE0BAF"/>
    <w:rsid w:val="00BE4817"/>
    <w:rsid w:val="00BE5FF2"/>
    <w:rsid w:val="00C11F1C"/>
    <w:rsid w:val="00C2309A"/>
    <w:rsid w:val="00C65620"/>
    <w:rsid w:val="00C6633E"/>
    <w:rsid w:val="00C9071B"/>
    <w:rsid w:val="00CD459B"/>
    <w:rsid w:val="00D05509"/>
    <w:rsid w:val="00D47568"/>
    <w:rsid w:val="00DA123A"/>
    <w:rsid w:val="00DA7184"/>
    <w:rsid w:val="00DD18F1"/>
    <w:rsid w:val="00DD2544"/>
    <w:rsid w:val="00DE0361"/>
    <w:rsid w:val="00E04376"/>
    <w:rsid w:val="00E073D4"/>
    <w:rsid w:val="00E469F7"/>
    <w:rsid w:val="00E73E41"/>
    <w:rsid w:val="00EC4B77"/>
    <w:rsid w:val="00EF2ED2"/>
    <w:rsid w:val="00F560A1"/>
    <w:rsid w:val="00F94B7F"/>
    <w:rsid w:val="00FC503C"/>
    <w:rsid w:val="00FC66A8"/>
    <w:rsid w:val="00FE0AF0"/>
    <w:rsid w:val="00FF0945"/>
    <w:rsid w:val="00FF0DB7"/>
    <w:rsid w:val="00FF1F42"/>
    <w:rsid w:val="00FF226B"/>
    <w:rsid w:val="00FF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0E46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4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3D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64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64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4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4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4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48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4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482"/>
    <w:pPr>
      <w:spacing w:line="240" w:lineRule="auto"/>
      <w:ind w:left="720"/>
      <w:contextualSpacing/>
    </w:pPr>
    <w:rPr>
      <w:color w:val="auto"/>
    </w:rPr>
  </w:style>
  <w:style w:type="character" w:styleId="Hyperlink">
    <w:name w:val="Hyperlink"/>
    <w:basedOn w:val="DefaultParagraphFont"/>
    <w:uiPriority w:val="99"/>
    <w:unhideWhenUsed/>
    <w:rsid w:val="0008648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6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454B8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3D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vision">
    <w:name w:val="Revision"/>
    <w:hidden/>
    <w:uiPriority w:val="99"/>
    <w:semiHidden/>
    <w:rsid w:val="00B1350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85A6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0550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05509"/>
    <w:pPr>
      <w:spacing w:before="100" w:beforeAutospacing="1" w:after="100" w:afterAutospacing="1" w:line="240" w:lineRule="auto"/>
    </w:pPr>
    <w:rPr>
      <w:rFonts w:eastAsia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A07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57A"/>
  </w:style>
  <w:style w:type="paragraph" w:styleId="Footer">
    <w:name w:val="footer"/>
    <w:basedOn w:val="Normal"/>
    <w:link w:val="FooterChar"/>
    <w:uiPriority w:val="99"/>
    <w:unhideWhenUsed/>
    <w:rsid w:val="00A07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researchnet-recherchenet.ca/rnr16/srch.do?all=1&amp;search=true&amp;org=CIHR&amp;sort=program&amp;masterList=true&amp;view=currentOpps&amp;language=E" TargetMode="External"/><Relationship Id="rId1" Type="http://schemas.openxmlformats.org/officeDocument/2006/relationships/hyperlink" Target="https://cihr-irsc.gc.ca/e/29300.html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2023-10-23T17:25:00Z</dcterms:created>
  <dcterms:modified xsi:type="dcterms:W3CDTF">2023-10-23T20:41:00Z</dcterms:modified>
</cp:coreProperties>
</file>